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E2FE8" w14:textId="77777777" w:rsidR="006140CF" w:rsidRPr="006B7BE7" w:rsidRDefault="006140CF">
      <w:pPr>
        <w:rPr>
          <w:rFonts w:ascii="Helvetica Neue" w:hAnsi="Helvetica Neue"/>
          <w:sz w:val="20"/>
        </w:rPr>
      </w:pPr>
    </w:p>
    <w:p w14:paraId="3320B445"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08B07E81" w14:textId="77777777" w:rsidR="006140CF" w:rsidRPr="006B7BE7" w:rsidRDefault="006140CF">
      <w:pPr>
        <w:pStyle w:val="PRT"/>
        <w:rPr>
          <w:rFonts w:hAnsi="Arial" w:cs="Arial"/>
          <w:sz w:val="20"/>
        </w:rPr>
      </w:pPr>
      <w:r w:rsidRPr="006B7BE7">
        <w:rPr>
          <w:rFonts w:hAnsi="Arial" w:cs="Arial"/>
          <w:sz w:val="20"/>
        </w:rPr>
        <w:t>PRODUCTS</w:t>
      </w:r>
    </w:p>
    <w:p w14:paraId="75F1E09E" w14:textId="77777777" w:rsidR="006140CF" w:rsidRPr="006B7BE7" w:rsidRDefault="00881FE3">
      <w:pPr>
        <w:pStyle w:val="ART"/>
        <w:outlineLvl w:val="9"/>
        <w:rPr>
          <w:rFonts w:cs="Arial"/>
          <w:sz w:val="20"/>
        </w:rPr>
      </w:pPr>
      <w:r>
        <w:rPr>
          <w:rFonts w:cs="Arial"/>
          <w:sz w:val="20"/>
        </w:rPr>
        <w:t>DRIP CONTROL ZONE KIT</w:t>
      </w:r>
    </w:p>
    <w:p w14:paraId="5B4311B8" w14:textId="77777777" w:rsidR="00881FE3" w:rsidRPr="002A37F8" w:rsidRDefault="00881FE3" w:rsidP="00881FE3">
      <w:pPr>
        <w:pStyle w:val="PR1"/>
      </w:pPr>
      <w:r w:rsidRPr="00881FE3">
        <w:t xml:space="preserve">PRESSURE REGULATING DRIP CONTROL ZONE KIT shall be model SCZ-MAX-DW-10 as manufactured by Weathermatic Sprinkler Division of </w:t>
      </w:r>
      <w:proofErr w:type="spellStart"/>
      <w:r w:rsidRPr="00881FE3">
        <w:t>Telsco</w:t>
      </w:r>
      <w:proofErr w:type="spellEnd"/>
      <w:r w:rsidRPr="00881FE3">
        <w:t xml:space="preserve"> Industries</w:t>
      </w:r>
      <w:r w:rsidRPr="002A37F8">
        <w:t xml:space="preserve">. </w:t>
      </w:r>
    </w:p>
    <w:p w14:paraId="370BB7A8" w14:textId="77777777" w:rsidR="00881FE3" w:rsidRPr="00FC7959" w:rsidRDefault="00881FE3" w:rsidP="00881FE3">
      <w:pPr>
        <w:pStyle w:val="PR2"/>
        <w:rPr>
          <w:sz w:val="20"/>
        </w:rPr>
      </w:pPr>
      <w:r w:rsidRPr="00FC7959">
        <w:rPr>
          <w:rFonts w:cs="Arial"/>
          <w:color w:val="000000" w:themeColor="text1"/>
          <w:sz w:val="20"/>
        </w:rPr>
        <w:t xml:space="preserve">REMOTE CONTROL VALVE: shall be MAX-DW-10F (11024EF-with flow control) Black Bullet Max series valve as manufactured by Weathermatic Sprinkler Division of </w:t>
      </w:r>
      <w:proofErr w:type="spellStart"/>
      <w:r w:rsidRPr="00FC7959">
        <w:rPr>
          <w:rFonts w:cs="Arial"/>
          <w:color w:val="000000" w:themeColor="text1"/>
          <w:sz w:val="20"/>
        </w:rPr>
        <w:t>Telsco</w:t>
      </w:r>
      <w:proofErr w:type="spellEnd"/>
      <w:r w:rsidRPr="00FC7959">
        <w:rPr>
          <w:rFonts w:cs="Arial"/>
          <w:color w:val="000000" w:themeColor="text1"/>
          <w:sz w:val="20"/>
        </w:rPr>
        <w:t xml:space="preserve"> Industries, or approved equal, with hand operated manual internal bleed. Valve shall be solenoid operated, diaphragm, reverse flow type, with 220 psi CWP rating, having NPT threads (optional ISO) and suitable for underground burial without protection. </w:t>
      </w:r>
    </w:p>
    <w:p w14:paraId="54709F4A" w14:textId="77777777" w:rsidR="00FC7959" w:rsidRPr="00FC7959" w:rsidRDefault="00881FE3" w:rsidP="00FC7959">
      <w:pPr>
        <w:pStyle w:val="PR2"/>
        <w:numPr>
          <w:ilvl w:val="5"/>
          <w:numId w:val="6"/>
        </w:numPr>
        <w:rPr>
          <w:sz w:val="20"/>
        </w:rPr>
      </w:pPr>
      <w:r w:rsidRPr="00FC7959">
        <w:rPr>
          <w:rFonts w:cs="Arial"/>
          <w:color w:val="000000" w:themeColor="text1"/>
          <w:sz w:val="20"/>
        </w:rPr>
        <w:t xml:space="preserve">Valve shall have glass filled, high strength plastic body and cover with stainless steel spring. Cover shall be secured to body with stainless steel cover bolts having mating brass body inserts. Diaphragm shall be chlorine/chloramine </w:t>
      </w:r>
      <w:proofErr w:type="gramStart"/>
      <w:r w:rsidRPr="00FC7959">
        <w:rPr>
          <w:rFonts w:cs="Arial"/>
          <w:color w:val="000000" w:themeColor="text1"/>
          <w:sz w:val="20"/>
        </w:rPr>
        <w:t>resistant, and</w:t>
      </w:r>
      <w:proofErr w:type="gramEnd"/>
      <w:r w:rsidRPr="00FC7959">
        <w:rPr>
          <w:rFonts w:cs="Arial"/>
          <w:color w:val="000000" w:themeColor="text1"/>
          <w:sz w:val="20"/>
        </w:rPr>
        <w:t xml:space="preserve"> shall utilize a conical base to reduce water hammer. Design shall be reverse flow causing automatic closure in event of diaphragm wall failure. Valve shall be </w:t>
      </w:r>
      <w:proofErr w:type="spellStart"/>
      <w:r w:rsidRPr="00FC7959">
        <w:rPr>
          <w:rFonts w:cs="Arial"/>
          <w:color w:val="000000" w:themeColor="text1"/>
          <w:sz w:val="20"/>
        </w:rPr>
        <w:t>packless</w:t>
      </w:r>
      <w:proofErr w:type="spellEnd"/>
      <w:r w:rsidRPr="00FC7959">
        <w:rPr>
          <w:rFonts w:cs="Arial"/>
          <w:color w:val="000000" w:themeColor="text1"/>
          <w:sz w:val="20"/>
        </w:rPr>
        <w:t xml:space="preserve">, without sliding seals, and completely serviceable without removing body from pipeline. </w:t>
      </w:r>
      <w:r w:rsidR="00FC7959" w:rsidRPr="00FC7959">
        <w:rPr>
          <w:sz w:val="20"/>
        </w:rPr>
        <w:t>Diaphragm design shall incorporate self-cleaning ports to inhibit sand and silt blockage.</w:t>
      </w:r>
    </w:p>
    <w:p w14:paraId="57916C84" w14:textId="7F9BBEA8" w:rsidR="00881FE3" w:rsidRPr="00FC7959" w:rsidRDefault="00881FE3" w:rsidP="00881FE3">
      <w:pPr>
        <w:pStyle w:val="PR2"/>
        <w:rPr>
          <w:sz w:val="20"/>
        </w:rPr>
      </w:pPr>
      <w:r w:rsidRPr="00FC7959">
        <w:rPr>
          <w:rFonts w:cs="Arial"/>
          <w:color w:val="000000" w:themeColor="text1"/>
          <w:sz w:val="20"/>
        </w:rPr>
        <w:t xml:space="preserve">Design shall be “normally closed” requiring solenoid to be energized to open valve, thereby causing automatic closure in event of power failure. Solenoid shall comply with Class II National Electric Code and when operating require a maximum of (5.69 VA) at 24 volts ac. Solenoid shall be integrally mounted in valve cover and encapsulated in molded-resin to form a corrosion and moisture-proof unit with exposed metal components of non-corrosive material. </w:t>
      </w:r>
    </w:p>
    <w:p w14:paraId="00FCDE8C" w14:textId="77777777" w:rsidR="00881FE3" w:rsidRPr="00FC7959" w:rsidRDefault="00881FE3" w:rsidP="00881FE3">
      <w:pPr>
        <w:pStyle w:val="PR2"/>
        <w:rPr>
          <w:sz w:val="20"/>
        </w:rPr>
      </w:pPr>
      <w:r w:rsidRPr="00FC7959">
        <w:rPr>
          <w:rFonts w:cs="Arial"/>
          <w:color w:val="000000" w:themeColor="text1"/>
          <w:sz w:val="20"/>
        </w:rPr>
        <w:t>Solenoid shall be ener</w:t>
      </w:r>
      <w:r w:rsidRPr="00FC7959">
        <w:rPr>
          <w:rFonts w:cs="Arial"/>
          <w:color w:val="000000" w:themeColor="text1"/>
          <w:sz w:val="20"/>
        </w:rPr>
        <w:softHyphen/>
        <w:t>gized to open the valve hydraulically and de-energized to close. Pressure to the hydraulic chamber shall be sup</w:t>
      </w:r>
      <w:r w:rsidRPr="00FC7959">
        <w:rPr>
          <w:rFonts w:cs="Arial"/>
          <w:color w:val="000000" w:themeColor="text1"/>
          <w:sz w:val="20"/>
        </w:rPr>
        <w:softHyphen/>
        <w:t>plied internally through non-metallic, corrosion-free orifices in the dia</w:t>
      </w:r>
      <w:r w:rsidRPr="00FC7959">
        <w:rPr>
          <w:rFonts w:cs="Arial"/>
          <w:color w:val="000000" w:themeColor="text1"/>
          <w:sz w:val="20"/>
        </w:rPr>
        <w:softHyphen/>
        <w:t>phragm causing a cleansing action of the orifices. Contamination resistance shall be provided without the use of screens, filters or strainers. In event of tear in diaphragm wall valve shall remain in the closed position. Mini</w:t>
      </w:r>
      <w:r w:rsidRPr="00FC7959">
        <w:rPr>
          <w:rFonts w:cs="Arial"/>
          <w:color w:val="000000" w:themeColor="text1"/>
          <w:sz w:val="20"/>
        </w:rPr>
        <w:softHyphen/>
        <w:t xml:space="preserve">mum flow range shall be no greater than 1 GPH. </w:t>
      </w:r>
    </w:p>
    <w:p w14:paraId="7FF2451F" w14:textId="77777777" w:rsidR="00881FE3" w:rsidRPr="00881FE3" w:rsidRDefault="00881FE3" w:rsidP="00881FE3">
      <w:pPr>
        <w:pStyle w:val="PR2"/>
      </w:pPr>
      <w:r w:rsidRPr="00881FE3">
        <w:rPr>
          <w:color w:val="000000" w:themeColor="text1"/>
          <w:szCs w:val="18"/>
        </w:rPr>
        <w:t>The valve shall have a manufacturer’s over the counter ex</w:t>
      </w:r>
      <w:r w:rsidRPr="00881FE3">
        <w:rPr>
          <w:color w:val="000000" w:themeColor="text1"/>
          <w:szCs w:val="18"/>
        </w:rPr>
        <w:softHyphen/>
        <w:t>change warranty of two (2) years.</w:t>
      </w:r>
    </w:p>
    <w:p w14:paraId="0C52B32C" w14:textId="4F87A9DF" w:rsidR="00881FE3" w:rsidRDefault="00881FE3" w:rsidP="00881FE3">
      <w:pPr>
        <w:pStyle w:val="PR1"/>
      </w:pPr>
      <w:r w:rsidRPr="00881FE3">
        <w:rPr>
          <w:color w:val="000000" w:themeColor="text1"/>
        </w:rPr>
        <w:t xml:space="preserve">WYE-FILTER REGULATOR: </w:t>
      </w:r>
      <w:r w:rsidRPr="00FE619D">
        <w:t>shall be PR</w:t>
      </w:r>
      <w:r w:rsidR="000D744E">
        <w:t>F-25-100 or PRF-40-100</w:t>
      </w:r>
      <w:r w:rsidRPr="00FE619D">
        <w:t xml:space="preserve"> filter/regulator as manufactured by </w:t>
      </w:r>
      <w:r w:rsidR="000D744E">
        <w:t>DIG Corporation</w:t>
      </w:r>
      <w:bookmarkStart w:id="0" w:name="_GoBack"/>
      <w:bookmarkEnd w:id="0"/>
      <w:r w:rsidRPr="00FE619D">
        <w:t xml:space="preserve"> for Weathermatic Sprinkler Division of </w:t>
      </w:r>
      <w:proofErr w:type="spellStart"/>
      <w:r w:rsidRPr="00FE619D">
        <w:t>Telsco</w:t>
      </w:r>
      <w:proofErr w:type="spellEnd"/>
      <w:r w:rsidRPr="00FE619D">
        <w:t xml:space="preserve"> Industries. Filter/regulator shall be wye-filter designed with built-in regulator, with 150 psi rating. </w:t>
      </w:r>
    </w:p>
    <w:p w14:paraId="5BB05635" w14:textId="77777777" w:rsidR="00881FE3" w:rsidRPr="000D744E" w:rsidRDefault="00881FE3" w:rsidP="00881FE3">
      <w:pPr>
        <w:pStyle w:val="PR2"/>
        <w:rPr>
          <w:sz w:val="20"/>
        </w:rPr>
      </w:pPr>
      <w:r w:rsidRPr="000D744E">
        <w:rPr>
          <w:sz w:val="20"/>
        </w:rPr>
        <w:t>Filter/regulator shall have glass filled nylon body and 200 mesh stainless steel screen element psi cover with stainless steel spring.  A manual flush cap shall provide for flushing of the filter screen. Directional arrows shall be molded into the body of the filter.</w:t>
      </w:r>
    </w:p>
    <w:p w14:paraId="16E80413" w14:textId="77777777" w:rsidR="00881FE3" w:rsidRPr="000D744E" w:rsidRDefault="00881FE3" w:rsidP="00881FE3">
      <w:pPr>
        <w:pStyle w:val="PR2"/>
        <w:rPr>
          <w:sz w:val="20"/>
        </w:rPr>
      </w:pPr>
      <w:r w:rsidRPr="000D744E">
        <w:rPr>
          <w:sz w:val="20"/>
        </w:rPr>
        <w:t>Filter/Regulator shall have a 20-150 psi pressure rating and operate at a flow rate of 2.0 to 15.0 GPM</w:t>
      </w:r>
    </w:p>
    <w:p w14:paraId="5DF1180E" w14:textId="77777777" w:rsidR="00881FE3" w:rsidRPr="000D744E" w:rsidRDefault="00881FE3" w:rsidP="00881FE3">
      <w:pPr>
        <w:pStyle w:val="PR2"/>
        <w:rPr>
          <w:sz w:val="20"/>
        </w:rPr>
      </w:pPr>
      <w:r w:rsidRPr="000D744E">
        <w:rPr>
          <w:sz w:val="20"/>
        </w:rPr>
        <w:t>Regulator shall regulate at a nominal pressure of 40 psi.</w:t>
      </w:r>
    </w:p>
    <w:p w14:paraId="0534B20C" w14:textId="77777777" w:rsidR="00881FE3" w:rsidRPr="000D744E" w:rsidRDefault="00881FE3" w:rsidP="00881FE3">
      <w:pPr>
        <w:pStyle w:val="PR2"/>
        <w:rPr>
          <w:sz w:val="20"/>
        </w:rPr>
      </w:pPr>
      <w:r w:rsidRPr="000D744E">
        <w:rPr>
          <w:sz w:val="20"/>
        </w:rPr>
        <w:t>The wye-filter/regulator shall have a manufacturer’s over the counter ex</w:t>
      </w:r>
      <w:r w:rsidRPr="000D744E">
        <w:rPr>
          <w:sz w:val="20"/>
        </w:rPr>
        <w:softHyphen/>
        <w:t>change warranty of two (2) years.</w:t>
      </w:r>
    </w:p>
    <w:p w14:paraId="519F2B7C" w14:textId="77777777" w:rsidR="006140CF" w:rsidRPr="000D744E" w:rsidRDefault="006140CF">
      <w:pPr>
        <w:rPr>
          <w:rFonts w:ascii="Arial" w:hAnsi="Arial" w:cs="Arial"/>
          <w:b/>
          <w:sz w:val="20"/>
        </w:rPr>
      </w:pPr>
    </w:p>
    <w:sectPr w:rsidR="006140CF" w:rsidRPr="000D744E">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567F" w14:textId="77777777" w:rsidR="008623AD" w:rsidRDefault="008623AD">
      <w:r>
        <w:separator/>
      </w:r>
    </w:p>
  </w:endnote>
  <w:endnote w:type="continuationSeparator" w:id="0">
    <w:p w14:paraId="279EB0CC" w14:textId="77777777" w:rsidR="008623AD" w:rsidRDefault="0086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DE55" w14:textId="77777777" w:rsidR="006140CF" w:rsidRDefault="006140CF">
    <w:pPr>
      <w:pStyle w:val="Footer"/>
      <w:ind w:left="720"/>
      <w:jc w:val="center"/>
      <w:rPr>
        <w:rFonts w:ascii="Arial" w:hAnsi="Arial" w:cs="Arial"/>
        <w:color w:val="0869B0"/>
        <w:sz w:val="16"/>
        <w:szCs w:val="24"/>
      </w:rPr>
    </w:pPr>
  </w:p>
  <w:p w14:paraId="07915BD1"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C62D" w14:textId="77777777" w:rsidR="008623AD" w:rsidRDefault="008623AD">
      <w:r>
        <w:separator/>
      </w:r>
    </w:p>
  </w:footnote>
  <w:footnote w:type="continuationSeparator" w:id="0">
    <w:p w14:paraId="7FFDFCEF" w14:textId="77777777" w:rsidR="008623AD" w:rsidRDefault="0086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64A0"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4C0D440A" wp14:editId="33F81C89">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79B6" w14:textId="77777777" w:rsidR="00E8746B" w:rsidRDefault="00E8746B" w:rsidP="00E8746B">
    <w:pPr>
      <w:pStyle w:val="Header"/>
      <w:jc w:val="center"/>
    </w:pPr>
    <w:r>
      <w:rPr>
        <w:noProof/>
      </w:rPr>
      <w:drawing>
        <wp:inline distT="0" distB="0" distL="0" distR="0" wp14:anchorId="506B72A2" wp14:editId="451999E7">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F602118"/>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0D744E"/>
    <w:rsid w:val="00114F5C"/>
    <w:rsid w:val="003473F9"/>
    <w:rsid w:val="00440773"/>
    <w:rsid w:val="00447C99"/>
    <w:rsid w:val="00527406"/>
    <w:rsid w:val="00600225"/>
    <w:rsid w:val="006140CF"/>
    <w:rsid w:val="006B7BE7"/>
    <w:rsid w:val="006E0258"/>
    <w:rsid w:val="0070160C"/>
    <w:rsid w:val="00747146"/>
    <w:rsid w:val="008623AD"/>
    <w:rsid w:val="00881FE3"/>
    <w:rsid w:val="008D06A9"/>
    <w:rsid w:val="0092395A"/>
    <w:rsid w:val="00926288"/>
    <w:rsid w:val="009865E3"/>
    <w:rsid w:val="00C2786B"/>
    <w:rsid w:val="00C506DA"/>
    <w:rsid w:val="00D17366"/>
    <w:rsid w:val="00E8746B"/>
    <w:rsid w:val="00F6063A"/>
    <w:rsid w:val="00F74899"/>
    <w:rsid w:val="00FC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C16A6"/>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881FE3"/>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2</cp:revision>
  <cp:lastPrinted>2006-06-02T15:04:00Z</cp:lastPrinted>
  <dcterms:created xsi:type="dcterms:W3CDTF">2020-04-03T21:19:00Z</dcterms:created>
  <dcterms:modified xsi:type="dcterms:W3CDTF">2020-04-03T21:19:00Z</dcterms:modified>
</cp:coreProperties>
</file>